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</w:t>
        <w:tab/>
        <w:t xml:space="preserve"> </w:t>
        <w:tab/>
      </w:r>
      <w:r w:rsidDel="00000000" w:rsidR="00000000" w:rsidRPr="00000000">
        <w:rPr/>
        <w:drawing>
          <wp:inline distB="114300" distT="114300" distL="114300" distR="114300">
            <wp:extent cx="1423988" cy="14239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1423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Chapman Interfraternity Council Agenda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                                                     1/30/18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President: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Welcome!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ab/>
        <w:t xml:space="preserve">Introduction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ab/>
        <w:t xml:space="preserve">Voting: Lowering Rush fee, adding additional info to the rush bi-laws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ab/>
        <w:t xml:space="preserve">Do we want tabling?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ab/>
        <w:t xml:space="preserve">Ideas: Bring up GPA on campus, don’t want to raise the rush GPA?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ab/>
        <w:t xml:space="preserve">Exec Retreat Info: Feb.11th, 10AM-2PM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ab/>
        <w:t xml:space="preserve">Ideas for advertising Rush?</w:t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Check your Facebook, Accept my friend request please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Vote: Lowering of Rush Fee to $10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Vote: Will tabling be allowed or not during the pre-rush period*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Vote: Rush events must be disclosed and calendared prior to the outset of rush in order to be considered legitimate rush events*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